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jc w:val="center"/>
        <w:rPr>
          <w:b/>
          <w:bCs/>
          <w:color w:val="000000"/>
        </w:rPr>
      </w:pPr>
      <w:r>
        <w:rPr>
          <w:b/>
          <w:bCs/>
          <w:color w:val="000000"/>
        </w:rPr>
        <w:t>LEGAL STATEMENT AND VENDOR DECLARATION</w:t>
      </w:r>
    </w:p>
    <w:p>
      <w:pPr>
        <w:pStyle w:val="NormalWeb"/>
        <w:jc w:val="both"/>
        <w:rPr>
          <w:color w:val="000000"/>
          <w:sz w:val="22"/>
          <w:szCs w:val="22"/>
        </w:rPr>
      </w:pPr>
      <w:r>
        <w:rPr>
          <w:color w:val="000000"/>
          <w:sz w:val="22"/>
          <w:szCs w:val="22"/>
        </w:rPr>
        <w:t xml:space="preserve">This Legal Statement is issued by </w:t>
      </w:r>
      <w:r>
        <w:rPr>
          <w:rStyle w:val="Strong"/>
          <w:rFonts w:eastAsiaTheme="majorEastAsia"/>
          <w:color w:val="000000"/>
          <w:sz w:val="22"/>
          <w:szCs w:val="22"/>
        </w:rPr>
        <w:t xml:space="preserve">DRNX 360 Unmanned Aerial Vehicle Service L.L.C</w:t>
      </w:r>
      <w:r>
        <w:rPr>
          <w:color w:val="000000"/>
          <w:sz w:val="22"/>
          <w:szCs w:val="22"/>
        </w:rPr>
        <w:t xml:space="preserve">, a limited liability company duly organized and existing under the laws of the United Arab Emirates, holding Commercial License No. </w:t>
      </w:r>
      <w:r>
        <w:rPr>
          <w:rStyle w:val="Strong"/>
          <w:rFonts w:eastAsiaTheme="majorEastAsia"/>
          <w:color w:val="000000"/>
          <w:sz w:val="22"/>
          <w:szCs w:val="22"/>
        </w:rPr>
        <w:t xml:space="preserve">1567569</w:t>
      </w:r>
      <w:r>
        <w:rPr>
          <w:color w:val="000000"/>
          <w:sz w:val="22"/>
          <w:szCs w:val="22"/>
        </w:rPr>
        <w:t xml:space="preserve">, with its registered address at </w:t>
      </w:r>
      <w:r>
        <w:rPr>
          <w:rStyle w:val="Strong"/>
          <w:rFonts w:eastAsiaTheme="majorEastAsia"/>
          <w:color w:val="000000"/>
          <w:sz w:val="22"/>
          <w:szCs w:val="22"/>
        </w:rPr>
        <w:t xml:space="preserve">Office No. 3, 137, Ras Al Khor Industrial Area 2, Dubai, United Arab Emirates</w:t>
      </w:r>
      <w:r>
        <w:rPr>
          <w:color w:val="000000"/>
          <w:sz w:val="22"/>
          <w:szCs w:val="22"/>
        </w:rPr>
        <w:t xml:space="preserve"> (“DroneX 360” or the “Company”), to establish clear guidelines and obligations for all vendors registering to conduct business with the Company. By registering as a vendor, you acknowledge and agree to the terms outlined below:</w:t>
      </w:r>
    </w:p>
    <w:p>
      <w:pPr>
        <w:pStyle w:val="Heading2"/>
        <w:rPr>
          <w:color w:val="000000"/>
          <w:sz w:val="28"/>
          <w:szCs w:val="28"/>
        </w:rPr>
      </w:pPr>
      <w:r>
        <w:rPr>
          <w:color w:val="000000"/>
          <w:sz w:val="28"/>
          <w:szCs w:val="28"/>
        </w:rPr>
        <w:t>1. Direct Relationship</w:t>
      </w:r>
    </w:p>
    <w:p>
      <w:pPr>
        <w:pStyle w:val="NormalWeb"/>
        <w:jc w:val="both"/>
        <w:rPr>
          <w:color w:val="000000"/>
          <w:sz w:val="22"/>
          <w:szCs w:val="22"/>
        </w:rPr>
      </w:pPr>
      <w:r>
        <w:rPr>
          <w:color w:val="000000"/>
          <w:sz w:val="22"/>
          <w:szCs w:val="22"/>
        </w:rPr>
        <w:t xml:space="preserve">All business dealings, transactions, communications, and agreements shall be conducted directly and exclusively between the vendor and DroneX 360.</w:t>
      </w:r>
    </w:p>
    <w:p>
      <w:pPr>
        <w:pStyle w:val="Heading2"/>
        <w:rPr>
          <w:color w:val="000000"/>
          <w:sz w:val="28"/>
          <w:szCs w:val="28"/>
        </w:rPr>
      </w:pPr>
      <w:r>
        <w:rPr>
          <w:color w:val="000000"/>
          <w:sz w:val="28"/>
          <w:szCs w:val="28"/>
        </w:rPr>
        <w:t>2. No Third-Party Representation</w:t>
      </w:r>
    </w:p>
    <w:p>
      <w:pPr>
        <w:pStyle w:val="NormalWeb"/>
        <w:jc w:val="both"/>
        <w:rPr>
          <w:color w:val="000000"/>
          <w:sz w:val="22"/>
          <w:szCs w:val="22"/>
        </w:rPr>
      </w:pPr>
      <w:r>
        <w:rPr>
          <w:color w:val="000000"/>
          <w:sz w:val="22"/>
          <w:szCs w:val="22"/>
        </w:rPr>
        <w:t xml:space="preserve">The vendor confirms and agrees that no third party, agent, broker, intermediary, or representative is authorized to act on behalf of DroneX 360 in any capacity related to vendor registration, procurement, or business dealings.</w:t>
      </w:r>
    </w:p>
    <w:p>
      <w:pPr>
        <w:pStyle w:val="Heading2"/>
        <w:rPr>
          <w:color w:val="000000"/>
          <w:sz w:val="28"/>
          <w:szCs w:val="28"/>
        </w:rPr>
      </w:pPr>
      <w:r>
        <w:rPr>
          <w:color w:val="000000"/>
          <w:sz w:val="28"/>
          <w:szCs w:val="28"/>
        </w:rPr>
        <w:t>3. Prohibition of Commissions, Finder’s Fees, or Side Agreements</w:t>
      </w:r>
    </w:p>
    <w:p>
      <w:pPr>
        <w:pStyle w:val="NormalWeb"/>
        <w:jc w:val="both"/>
        <w:rPr>
          <w:color w:val="000000"/>
          <w:sz w:val="22"/>
          <w:szCs w:val="22"/>
        </w:rPr>
      </w:pPr>
      <w:r>
        <w:rPr>
          <w:color w:val="000000"/>
          <w:sz w:val="22"/>
          <w:szCs w:val="22"/>
        </w:rPr>
        <w:t xml:space="preserve">Under no circumstances shall the vendor offer, agree to pay, or make any payment, whether monetary or otherwise, to any third party, including but not limited to commissions, kickbacks, finder’s fees, facilitation payments, or side agreements, for the purpose of obtaining, influencing, or retaining any business relationship with DroneX 360.</w:t>
      </w:r>
    </w:p>
    <w:p>
      <w:pPr>
        <w:pStyle w:val="Heading2"/>
        <w:rPr>
          <w:color w:val="000000"/>
          <w:sz w:val="28"/>
          <w:szCs w:val="28"/>
        </w:rPr>
      </w:pPr>
      <w:r>
        <w:rPr>
          <w:color w:val="000000"/>
          <w:sz w:val="28"/>
          <w:szCs w:val="28"/>
        </w:rPr>
        <w:t>4. Legal Compliance</w:t>
      </w:r>
    </w:p>
    <w:p>
      <w:pPr>
        <w:pStyle w:val="NormalWeb"/>
        <w:jc w:val="both"/>
        <w:rPr>
          <w:color w:val="000000"/>
          <w:sz w:val="22"/>
          <w:szCs w:val="22"/>
        </w:rPr>
      </w:pPr>
      <w:r>
        <w:rPr>
          <w:color w:val="000000"/>
          <w:sz w:val="22"/>
          <w:szCs w:val="22"/>
        </w:rPr>
        <w:t xml:space="preserve">This statement is binding and enforceable under the laws of the United Arab Emirates, including applicable free zone regulations, and is consistent with internationally recognized anti-bribery and anti-corruption standards. Any violation of this undertaking shall constitute grounds for immediate termination of the business relationship, disqualification of the vendor, and potential legal action.</w:t>
      </w:r>
    </w:p>
    <w:p>
      <w:pPr>
        <w:pStyle w:val="Heading2"/>
        <w:rPr>
          <w:color w:val="000000"/>
          <w:sz w:val="28"/>
          <w:szCs w:val="28"/>
        </w:rPr>
      </w:pPr>
      <w:r>
        <w:rPr>
          <w:color w:val="000000"/>
          <w:sz w:val="28"/>
          <w:szCs w:val="28"/>
        </w:rPr>
        <w:t>5. Right to Verify</w:t>
      </w:r>
    </w:p>
    <w:p>
      <w:pPr>
        <w:pStyle w:val="NormalWeb"/>
        <w:jc w:val="both"/>
        <w:rPr>
          <w:color w:val="000000"/>
          <w:sz w:val="22"/>
          <w:szCs w:val="22"/>
        </w:rPr>
      </w:pPr>
      <w:r>
        <w:rPr>
          <w:color w:val="000000"/>
          <w:sz w:val="22"/>
          <w:szCs w:val="22"/>
        </w:rPr>
        <w:t xml:space="preserve">DroneX 360 reserves the right to verify and audit all dealings with the vendor to ensure full compliance with this declaration. Vendors are required to fully cooperate and provide relevant documentation upon request.</w:t>
      </w:r>
    </w:p>
    <w:p>
      <w:pPr>
        <w:pStyle w:val="Heading2"/>
        <w:rPr>
          <w:color w:val="000000"/>
          <w:sz w:val="28"/>
          <w:szCs w:val="28"/>
        </w:rPr>
      </w:pPr>
      <w:r>
        <w:rPr>
          <w:color w:val="000000"/>
          <w:sz w:val="28"/>
          <w:szCs w:val="28"/>
        </w:rPr>
        <w:t>6. Declaration of Understanding</w:t>
      </w:r>
    </w:p>
    <w:p>
      <w:pPr>
        <w:pStyle w:val="NormalWeb"/>
        <w:jc w:val="both"/>
        <w:rPr>
          <w:color w:val="000000"/>
          <w:sz w:val="22"/>
          <w:szCs w:val="22"/>
        </w:rPr>
      </w:pPr>
      <w:r>
        <w:rPr>
          <w:color w:val="000000"/>
          <w:sz w:val="22"/>
          <w:szCs w:val="22"/>
        </w:rPr>
        <w:t xml:space="preserve">By proceeding with registration, the vendor confirms understanding and acceptance of this statement and acknowledges that any breach may result in legal consequences, including civil and/or criminal liability under UAE law and applicable international laws.</w:t>
      </w:r>
    </w:p>
    <w:p>
      <w:pPr>
        <w:rPr>
          <w:sz w:val="22"/>
          <w:szCs w:val="22"/>
        </w:rPr>
      </w:pPr>
    </w:p>
    <w:p>
      <w:pPr>
        <w:pStyle w:val="Heading2"/>
        <w:rPr>
          <w:color w:val="000000"/>
          <w:sz w:val="28"/>
          <w:szCs w:val="28"/>
        </w:rPr>
      </w:pPr>
      <w:r>
        <w:rPr>
          <w:color w:val="000000"/>
          <w:sz w:val="28"/>
          <w:szCs w:val="28"/>
        </w:rPr>
        <w:t>Vendor Acceptance &amp; Acknowledgment</w:t>
      </w:r>
    </w:p>
    <w:p>
      <w:pPr>
        <w:pStyle w:val="NormalWeb"/>
        <w:jc w:val="both"/>
        <w:rPr>
          <w:color w:val="000000"/>
          <w:sz w:val="22"/>
          <w:szCs w:val="22"/>
        </w:rPr>
      </w:pPr>
      <w:r>
        <w:rPr>
          <w:color w:val="000000"/>
          <w:sz w:val="22"/>
          <w:szCs w:val="22"/>
        </w:rPr>
        <w:t xml:space="preserve">We, the undersigned, hereby acknowledge that we have read, understood, and fully agree to comply with the terms and conditions stated in this Legal Statement and Vendor Declaration. We confirm that all dealings with DroneX 360 will be conducted directly and that no third-party involvement, commission, or side agreements will be made in relation to any business transactions.</w:t>
      </w:r>
    </w:p>
    <w:p>
      <w:pPr>
        <w:pStyle w:val="NormalWeb"/>
        <w:jc w:val="both"/>
        <w:rPr>
          <w:color w:val="000000"/>
          <w:sz w:val="22"/>
          <w:szCs w:val="22"/>
        </w:rPr>
      </w:pPr>
      <w:r>
        <w:rPr>
          <w:color w:val="000000"/>
          <w:sz w:val="22"/>
          <w:szCs w:val="22"/>
        </w:rPr>
        <w:t xml:space="preserve">This acknowledgment is made willingly and with full understanding of its legal implications.</w:t>
      </w:r>
    </w:p>
    <w:p>
      <w:pPr>
        <w:rPr>
          <w:sz w:val="22"/>
          <w:szCs w:val="22"/>
        </w:rPr>
      </w:pPr>
    </w:p>
    <w:p>
      <w:pPr>
        <w:pStyle w:val="NormalWeb"/>
        <w:rPr>
          <w:color w:val="000000"/>
          <w:sz w:val="22"/>
          <w:szCs w:val="22"/>
        </w:rPr>
      </w:pPr>
      <w:r>
        <w:rPr>
          <w:color w:val="000000"/>
          <w:sz w:val="22"/>
          <w:szCs w:val="22"/>
        </w:rPr>
        <w:t xml:space="preserve">Authorized Signatory: ______________________________ </w:t>
      </w:r>
    </w:p>
    <w:p>
      <w:pPr>
        <w:pStyle w:val="NormalWeb"/>
        <w:rPr>
          <w:color w:val="000000"/>
          <w:sz w:val="22"/>
          <w:szCs w:val="22"/>
        </w:rPr>
      </w:pPr>
      <w:r>
        <w:rPr>
          <w:color w:val="000000"/>
          <w:sz w:val="22"/>
          <w:szCs w:val="22"/>
        </w:rPr>
        <w:t xml:space="preserve">Name: ______________________________ </w:t>
      </w:r>
    </w:p>
    <w:p>
      <w:pPr>
        <w:pStyle w:val="NormalWeb"/>
        <w:rPr>
          <w:color w:val="000000"/>
          <w:sz w:val="22"/>
          <w:szCs w:val="22"/>
        </w:rPr>
      </w:pPr>
      <w:r>
        <w:rPr>
          <w:color w:val="000000"/>
          <w:sz w:val="22"/>
          <w:szCs w:val="22"/>
        </w:rPr>
        <w:t xml:space="preserve">Designation/Position: ______________________________ </w:t>
      </w:r>
    </w:p>
    <w:p>
      <w:pPr>
        <w:pStyle w:val="NormalWeb"/>
        <w:rPr>
          <w:color w:val="000000"/>
          <w:sz w:val="22"/>
          <w:szCs w:val="22"/>
        </w:rPr>
      </w:pPr>
      <w:r>
        <w:rPr>
          <w:color w:val="000000"/>
          <w:sz w:val="22"/>
          <w:szCs w:val="22"/>
        </w:rPr>
        <w:t xml:space="preserve">Company Name: ______________________________ </w:t>
      </w:r>
    </w:p>
    <w:p>
      <w:pPr>
        <w:pStyle w:val="NormalWeb"/>
        <w:rPr>
          <w:color w:val="000000"/>
          <w:sz w:val="22"/>
          <w:szCs w:val="22"/>
        </w:rPr>
      </w:pPr>
      <w:r>
        <w:rPr>
          <w:color w:val="000000"/>
          <w:sz w:val="22"/>
          <w:szCs w:val="22"/>
        </w:rPr>
        <w:t xml:space="preserve">Date: ______________________________ </w:t>
      </w:r>
    </w:p>
    <w:p>
      <w:pPr>
        <w:pStyle w:val="NormalWeb"/>
        <w:rPr>
          <w:color w:val="000000"/>
          <w:sz w:val="22"/>
          <w:szCs w:val="22"/>
        </w:rPr>
      </w:pPr>
      <w:r>
        <w:rPr>
          <w:color w:val="000000"/>
          <w:sz w:val="22"/>
          <w:szCs w:val="22"/>
        </w:rPr>
        <w:t xml:space="preserve">Official Company Stamp: ______________________________ </w:t>
      </w:r>
    </w:p>
    <w:p>
      <w:pPr>
        <w:rPr>
          <w:sz w:val="22"/>
          <w:szCs w:val="22"/>
        </w:rPr>
      </w:pPr>
    </w:p>
    <w:sectPr w:rsidR="00230C90" w:rsidRPr="00E76338" w:rsidSect="001B38CD">
      <w:headerReference w:type="even" r:id="rId7"/>
      <w:headerReference w:type="default" r:id="rId8"/>
      <w:pgSz w:w="11900" w:h="16840"/>
      <w:pgMar w:top="3095" w:right="1440" w:bottom="2033" w:left="1014" w:header="709" w:footer="16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85808" w14:textId="77777777" w:rsidR="00276C5B" w:rsidRDefault="00276C5B" w:rsidP="009E6370">
      <w:r>
        <w:separator/>
      </w:r>
    </w:p>
  </w:endnote>
  <w:endnote w:type="continuationSeparator" w:id="0">
    <w:p w14:paraId="6227E846" w14:textId="77777777" w:rsidR="00276C5B" w:rsidRDefault="00276C5B" w:rsidP="009E6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46CA4" w14:textId="77777777" w:rsidR="00276C5B" w:rsidRDefault="00276C5B" w:rsidP="009E6370">
      <w:r>
        <w:separator/>
      </w:r>
    </w:p>
  </w:footnote>
  <w:footnote w:type="continuationSeparator" w:id="0">
    <w:p w14:paraId="56304391" w14:textId="77777777" w:rsidR="00276C5B" w:rsidRDefault="00276C5B" w:rsidP="009E6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B3F2" w14:textId="538F1153" w:rsidR="00CD5BA2" w:rsidRDefault="00E76338">
    <w:pPr>
      <w:pStyle w:val="Header"/>
    </w:pPr>
    <w:r>
      <w:rPr>
        <w:noProof/>
      </w:rPr>
      <w:drawing>
        <wp:anchor distT="0" distB="0" distL="114300" distR="114300" simplePos="0" relativeHeight="251660288" behindDoc="0" locked="0" layoutInCell="1" allowOverlap="1" wp14:anchorId="3298787E" wp14:editId="242452CE">
          <wp:simplePos x="0" y="0"/>
          <wp:positionH relativeFrom="page">
            <wp:posOffset>11574</wp:posOffset>
          </wp:positionH>
          <wp:positionV relativeFrom="paragraph">
            <wp:posOffset>-440473</wp:posOffset>
          </wp:positionV>
          <wp:extent cx="7555230" cy="10675620"/>
          <wp:effectExtent l="0" t="0" r="7620" b="0"/>
          <wp:wrapNone/>
          <wp:docPr id="1574092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1730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5230" cy="1067562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EAD59" w14:textId="60817520" w:rsidR="009E6370" w:rsidRDefault="009E6370" w:rsidP="001B38CD">
    <w:pPr>
      <w:pStyle w:val="Header"/>
      <w:ind w:left="-426"/>
    </w:pPr>
    <w:r>
      <w:rPr>
        <w:noProof/>
      </w:rPr>
      <w:drawing>
        <wp:anchor distT="0" distB="0" distL="114300" distR="114300" simplePos="0" relativeHeight="251658240" behindDoc="0" locked="0" layoutInCell="1" allowOverlap="1" wp14:anchorId="617729FC" wp14:editId="3FDB7894">
          <wp:simplePos x="0" y="0"/>
          <wp:positionH relativeFrom="page">
            <wp:posOffset>-7620</wp:posOffset>
          </wp:positionH>
          <wp:positionV relativeFrom="paragraph">
            <wp:posOffset>-442595</wp:posOffset>
          </wp:positionV>
          <wp:extent cx="7555230" cy="10675620"/>
          <wp:effectExtent l="0" t="0" r="7620" b="0"/>
          <wp:wrapNone/>
          <wp:docPr id="137131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31730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899" cy="10682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5298"/>
    <w:multiLevelType w:val="hybridMultilevel"/>
    <w:tmpl w:val="B4A23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8E4BA4"/>
    <w:multiLevelType w:val="multilevel"/>
    <w:tmpl w:val="392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80214"/>
    <w:multiLevelType w:val="multilevel"/>
    <w:tmpl w:val="BF1AE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7097D"/>
    <w:multiLevelType w:val="multilevel"/>
    <w:tmpl w:val="409C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9E0243"/>
    <w:multiLevelType w:val="multilevel"/>
    <w:tmpl w:val="D0EC6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3498D"/>
    <w:multiLevelType w:val="multilevel"/>
    <w:tmpl w:val="E3B6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7428B"/>
    <w:multiLevelType w:val="multilevel"/>
    <w:tmpl w:val="437C4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9F43DF"/>
    <w:multiLevelType w:val="multilevel"/>
    <w:tmpl w:val="FEFA7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720AA"/>
    <w:multiLevelType w:val="multilevel"/>
    <w:tmpl w:val="C1AA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945C1F"/>
    <w:multiLevelType w:val="multilevel"/>
    <w:tmpl w:val="DBD2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5E1EC5"/>
    <w:multiLevelType w:val="multilevel"/>
    <w:tmpl w:val="239C9A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432F90"/>
    <w:multiLevelType w:val="multilevel"/>
    <w:tmpl w:val="A3AEC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B36575"/>
    <w:multiLevelType w:val="multilevel"/>
    <w:tmpl w:val="FAE2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5066D7"/>
    <w:multiLevelType w:val="multilevel"/>
    <w:tmpl w:val="2788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B17A92"/>
    <w:multiLevelType w:val="multilevel"/>
    <w:tmpl w:val="0EBE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920D09"/>
    <w:multiLevelType w:val="multilevel"/>
    <w:tmpl w:val="913A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3B1BB9"/>
    <w:multiLevelType w:val="multilevel"/>
    <w:tmpl w:val="5D14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541794"/>
    <w:multiLevelType w:val="multilevel"/>
    <w:tmpl w:val="61A08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940D33"/>
    <w:multiLevelType w:val="multilevel"/>
    <w:tmpl w:val="24FE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C76151"/>
    <w:multiLevelType w:val="multilevel"/>
    <w:tmpl w:val="4936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3C7EE8"/>
    <w:multiLevelType w:val="multilevel"/>
    <w:tmpl w:val="A5E4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9D4490"/>
    <w:multiLevelType w:val="multilevel"/>
    <w:tmpl w:val="0A4A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EC76BD"/>
    <w:multiLevelType w:val="multilevel"/>
    <w:tmpl w:val="0986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F81986"/>
    <w:multiLevelType w:val="multilevel"/>
    <w:tmpl w:val="AE44F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8659B9"/>
    <w:multiLevelType w:val="multilevel"/>
    <w:tmpl w:val="9CF02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1D30A1"/>
    <w:multiLevelType w:val="multilevel"/>
    <w:tmpl w:val="7BAE3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758096">
    <w:abstractNumId w:val="25"/>
  </w:num>
  <w:num w:numId="2" w16cid:durableId="249047811">
    <w:abstractNumId w:val="9"/>
  </w:num>
  <w:num w:numId="3" w16cid:durableId="312100152">
    <w:abstractNumId w:val="19"/>
  </w:num>
  <w:num w:numId="4" w16cid:durableId="108008852">
    <w:abstractNumId w:val="15"/>
  </w:num>
  <w:num w:numId="5" w16cid:durableId="1494683941">
    <w:abstractNumId w:val="2"/>
  </w:num>
  <w:num w:numId="6" w16cid:durableId="249659048">
    <w:abstractNumId w:val="24"/>
  </w:num>
  <w:num w:numId="7" w16cid:durableId="590315044">
    <w:abstractNumId w:val="11"/>
  </w:num>
  <w:num w:numId="8" w16cid:durableId="1160534290">
    <w:abstractNumId w:val="1"/>
  </w:num>
  <w:num w:numId="9" w16cid:durableId="257057190">
    <w:abstractNumId w:val="17"/>
  </w:num>
  <w:num w:numId="10" w16cid:durableId="1704554298">
    <w:abstractNumId w:val="4"/>
  </w:num>
  <w:num w:numId="11" w16cid:durableId="233585772">
    <w:abstractNumId w:val="16"/>
  </w:num>
  <w:num w:numId="12" w16cid:durableId="2084793592">
    <w:abstractNumId w:val="12"/>
  </w:num>
  <w:num w:numId="13" w16cid:durableId="2004894808">
    <w:abstractNumId w:val="8"/>
  </w:num>
  <w:num w:numId="14" w16cid:durableId="140585380">
    <w:abstractNumId w:val="5"/>
  </w:num>
  <w:num w:numId="15" w16cid:durableId="360714636">
    <w:abstractNumId w:val="13"/>
  </w:num>
  <w:num w:numId="16" w16cid:durableId="1780562933">
    <w:abstractNumId w:val="18"/>
  </w:num>
  <w:num w:numId="17" w16cid:durableId="483355507">
    <w:abstractNumId w:val="14"/>
  </w:num>
  <w:num w:numId="18" w16cid:durableId="1535070355">
    <w:abstractNumId w:val="23"/>
  </w:num>
  <w:num w:numId="19" w16cid:durableId="716665589">
    <w:abstractNumId w:val="21"/>
  </w:num>
  <w:num w:numId="20" w16cid:durableId="804929481">
    <w:abstractNumId w:val="22"/>
  </w:num>
  <w:num w:numId="21" w16cid:durableId="1411387220">
    <w:abstractNumId w:val="10"/>
  </w:num>
  <w:num w:numId="22" w16cid:durableId="1189682582">
    <w:abstractNumId w:val="6"/>
  </w:num>
  <w:num w:numId="23" w16cid:durableId="847990341">
    <w:abstractNumId w:val="3"/>
  </w:num>
  <w:num w:numId="24" w16cid:durableId="1777403260">
    <w:abstractNumId w:val="0"/>
  </w:num>
  <w:num w:numId="25" w16cid:durableId="121657900">
    <w:abstractNumId w:val="20"/>
  </w:num>
  <w:num w:numId="26" w16cid:durableId="1887647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370"/>
    <w:rsid w:val="000161F6"/>
    <w:rsid w:val="00024C84"/>
    <w:rsid w:val="0002797C"/>
    <w:rsid w:val="00041BEC"/>
    <w:rsid w:val="00066114"/>
    <w:rsid w:val="00067B3D"/>
    <w:rsid w:val="00070538"/>
    <w:rsid w:val="000956FE"/>
    <w:rsid w:val="000A4A51"/>
    <w:rsid w:val="000B5269"/>
    <w:rsid w:val="000B610A"/>
    <w:rsid w:val="000B6A3C"/>
    <w:rsid w:val="000C5BD9"/>
    <w:rsid w:val="001103B3"/>
    <w:rsid w:val="00117271"/>
    <w:rsid w:val="001208FF"/>
    <w:rsid w:val="00134A3D"/>
    <w:rsid w:val="001409A0"/>
    <w:rsid w:val="00156DF0"/>
    <w:rsid w:val="00160C41"/>
    <w:rsid w:val="0016108A"/>
    <w:rsid w:val="001651A9"/>
    <w:rsid w:val="001744DE"/>
    <w:rsid w:val="00187466"/>
    <w:rsid w:val="00192E34"/>
    <w:rsid w:val="001A1EAC"/>
    <w:rsid w:val="001B38CD"/>
    <w:rsid w:val="001C3FAA"/>
    <w:rsid w:val="001C752A"/>
    <w:rsid w:val="001D188F"/>
    <w:rsid w:val="00230C90"/>
    <w:rsid w:val="002345E0"/>
    <w:rsid w:val="00234B2E"/>
    <w:rsid w:val="00235E74"/>
    <w:rsid w:val="002370A6"/>
    <w:rsid w:val="00276C5B"/>
    <w:rsid w:val="00277F9E"/>
    <w:rsid w:val="00280EA8"/>
    <w:rsid w:val="0029339F"/>
    <w:rsid w:val="002933F4"/>
    <w:rsid w:val="00296D87"/>
    <w:rsid w:val="002A75FF"/>
    <w:rsid w:val="002B16E0"/>
    <w:rsid w:val="002B5DDC"/>
    <w:rsid w:val="002B6CAC"/>
    <w:rsid w:val="002E2997"/>
    <w:rsid w:val="002E5603"/>
    <w:rsid w:val="00342E6E"/>
    <w:rsid w:val="00357EE8"/>
    <w:rsid w:val="00366D08"/>
    <w:rsid w:val="00395CBD"/>
    <w:rsid w:val="003B0250"/>
    <w:rsid w:val="003B3042"/>
    <w:rsid w:val="003C11E9"/>
    <w:rsid w:val="003C75FD"/>
    <w:rsid w:val="003C77DC"/>
    <w:rsid w:val="003F4738"/>
    <w:rsid w:val="003F6E03"/>
    <w:rsid w:val="004006B1"/>
    <w:rsid w:val="00402442"/>
    <w:rsid w:val="00427742"/>
    <w:rsid w:val="00441A80"/>
    <w:rsid w:val="0049714E"/>
    <w:rsid w:val="004B2B2A"/>
    <w:rsid w:val="004C7FC9"/>
    <w:rsid w:val="004E0A73"/>
    <w:rsid w:val="004E2C2A"/>
    <w:rsid w:val="004E2C58"/>
    <w:rsid w:val="004F5B9A"/>
    <w:rsid w:val="00523950"/>
    <w:rsid w:val="00530643"/>
    <w:rsid w:val="0054302E"/>
    <w:rsid w:val="005440CA"/>
    <w:rsid w:val="0057495E"/>
    <w:rsid w:val="00594576"/>
    <w:rsid w:val="00594C59"/>
    <w:rsid w:val="005B36B4"/>
    <w:rsid w:val="005B4D72"/>
    <w:rsid w:val="005C03F5"/>
    <w:rsid w:val="005D1F6C"/>
    <w:rsid w:val="005D7AAE"/>
    <w:rsid w:val="005E3EE9"/>
    <w:rsid w:val="005F2F9A"/>
    <w:rsid w:val="006106A4"/>
    <w:rsid w:val="006557A5"/>
    <w:rsid w:val="00662CD8"/>
    <w:rsid w:val="00671CC6"/>
    <w:rsid w:val="0067535A"/>
    <w:rsid w:val="00690675"/>
    <w:rsid w:val="00691581"/>
    <w:rsid w:val="006E0E5C"/>
    <w:rsid w:val="007147BE"/>
    <w:rsid w:val="00716E62"/>
    <w:rsid w:val="00717588"/>
    <w:rsid w:val="007235CC"/>
    <w:rsid w:val="00726BDD"/>
    <w:rsid w:val="00754278"/>
    <w:rsid w:val="00765E4F"/>
    <w:rsid w:val="007720EC"/>
    <w:rsid w:val="00780990"/>
    <w:rsid w:val="007E58D1"/>
    <w:rsid w:val="007F2F2C"/>
    <w:rsid w:val="007F6896"/>
    <w:rsid w:val="00800DB2"/>
    <w:rsid w:val="0080697F"/>
    <w:rsid w:val="008236CA"/>
    <w:rsid w:val="00833F6D"/>
    <w:rsid w:val="00846BCF"/>
    <w:rsid w:val="00860561"/>
    <w:rsid w:val="00863F41"/>
    <w:rsid w:val="008676F3"/>
    <w:rsid w:val="008718F5"/>
    <w:rsid w:val="008E61A6"/>
    <w:rsid w:val="00900EEF"/>
    <w:rsid w:val="00907837"/>
    <w:rsid w:val="009261DB"/>
    <w:rsid w:val="009305A3"/>
    <w:rsid w:val="00931422"/>
    <w:rsid w:val="0094274F"/>
    <w:rsid w:val="00945CF8"/>
    <w:rsid w:val="00947DFF"/>
    <w:rsid w:val="00953F90"/>
    <w:rsid w:val="00960912"/>
    <w:rsid w:val="00995D18"/>
    <w:rsid w:val="009B65DF"/>
    <w:rsid w:val="009C33A9"/>
    <w:rsid w:val="009E17D2"/>
    <w:rsid w:val="009E3478"/>
    <w:rsid w:val="009E6370"/>
    <w:rsid w:val="009F2BC7"/>
    <w:rsid w:val="00A07BA0"/>
    <w:rsid w:val="00A2271A"/>
    <w:rsid w:val="00A23C22"/>
    <w:rsid w:val="00A46BB7"/>
    <w:rsid w:val="00A619A8"/>
    <w:rsid w:val="00A77274"/>
    <w:rsid w:val="00A840AF"/>
    <w:rsid w:val="00A8497B"/>
    <w:rsid w:val="00AA6E49"/>
    <w:rsid w:val="00AC4599"/>
    <w:rsid w:val="00AC7BAF"/>
    <w:rsid w:val="00AD2817"/>
    <w:rsid w:val="00AE5D4A"/>
    <w:rsid w:val="00B063C1"/>
    <w:rsid w:val="00B069B2"/>
    <w:rsid w:val="00B17264"/>
    <w:rsid w:val="00B47BCA"/>
    <w:rsid w:val="00B55382"/>
    <w:rsid w:val="00B77EF7"/>
    <w:rsid w:val="00B92E20"/>
    <w:rsid w:val="00BA4B5B"/>
    <w:rsid w:val="00BA59EC"/>
    <w:rsid w:val="00BC1AC7"/>
    <w:rsid w:val="00BE2B99"/>
    <w:rsid w:val="00BE5604"/>
    <w:rsid w:val="00BE61E6"/>
    <w:rsid w:val="00BF0C65"/>
    <w:rsid w:val="00BF1841"/>
    <w:rsid w:val="00C05FC3"/>
    <w:rsid w:val="00C34439"/>
    <w:rsid w:val="00C5293C"/>
    <w:rsid w:val="00C57A90"/>
    <w:rsid w:val="00C6071C"/>
    <w:rsid w:val="00C6611E"/>
    <w:rsid w:val="00C833FE"/>
    <w:rsid w:val="00C967F6"/>
    <w:rsid w:val="00CA747C"/>
    <w:rsid w:val="00CB530D"/>
    <w:rsid w:val="00CB5B2B"/>
    <w:rsid w:val="00CC31B6"/>
    <w:rsid w:val="00CD1AD5"/>
    <w:rsid w:val="00CD5BA2"/>
    <w:rsid w:val="00CE6F75"/>
    <w:rsid w:val="00CF382C"/>
    <w:rsid w:val="00CF47EE"/>
    <w:rsid w:val="00CF69BC"/>
    <w:rsid w:val="00D0749E"/>
    <w:rsid w:val="00D11AAF"/>
    <w:rsid w:val="00D164EF"/>
    <w:rsid w:val="00D24B17"/>
    <w:rsid w:val="00D451C2"/>
    <w:rsid w:val="00D63E74"/>
    <w:rsid w:val="00D65CBD"/>
    <w:rsid w:val="00D73040"/>
    <w:rsid w:val="00D919E4"/>
    <w:rsid w:val="00DB7600"/>
    <w:rsid w:val="00DD0F56"/>
    <w:rsid w:val="00DD1E7D"/>
    <w:rsid w:val="00DE1658"/>
    <w:rsid w:val="00E00D89"/>
    <w:rsid w:val="00E31898"/>
    <w:rsid w:val="00E4312E"/>
    <w:rsid w:val="00E43F78"/>
    <w:rsid w:val="00E6155C"/>
    <w:rsid w:val="00E6269E"/>
    <w:rsid w:val="00E76338"/>
    <w:rsid w:val="00E804E3"/>
    <w:rsid w:val="00E95E48"/>
    <w:rsid w:val="00EC62C8"/>
    <w:rsid w:val="00ED3757"/>
    <w:rsid w:val="00ED5636"/>
    <w:rsid w:val="00EF315A"/>
    <w:rsid w:val="00F13D1D"/>
    <w:rsid w:val="00F15D0C"/>
    <w:rsid w:val="00F20FF9"/>
    <w:rsid w:val="00F43B20"/>
    <w:rsid w:val="00F465C3"/>
    <w:rsid w:val="00F710C9"/>
    <w:rsid w:val="00F923C3"/>
    <w:rsid w:val="00FA1DB8"/>
    <w:rsid w:val="00FA794A"/>
    <w:rsid w:val="00FC4061"/>
    <w:rsid w:val="00FD29B8"/>
    <w:rsid w:val="00FE4E6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BEBC5"/>
  <w15:chartTrackingRefBased/>
  <w15:docId w15:val="{DC8DD4A5-D4DC-BF48-BBED-E09BA5782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9E63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63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3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3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3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3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3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3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3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3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3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3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3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3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3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3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3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370"/>
    <w:rPr>
      <w:rFonts w:eastAsiaTheme="majorEastAsia" w:cstheme="majorBidi"/>
      <w:color w:val="272727" w:themeColor="text1" w:themeTint="D8"/>
    </w:rPr>
  </w:style>
  <w:style w:type="paragraph" w:styleId="Title">
    <w:name w:val="Title"/>
    <w:basedOn w:val="Normal"/>
    <w:next w:val="Normal"/>
    <w:link w:val="TitleChar"/>
    <w:uiPriority w:val="10"/>
    <w:qFormat/>
    <w:rsid w:val="009E63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3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3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3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3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6370"/>
    <w:rPr>
      <w:rFonts w:eastAsiaTheme="minorEastAsia"/>
      <w:i/>
      <w:iCs/>
      <w:color w:val="404040" w:themeColor="text1" w:themeTint="BF"/>
    </w:rPr>
  </w:style>
  <w:style w:type="paragraph" w:styleId="ListParagraph">
    <w:name w:val="List Paragraph"/>
    <w:basedOn w:val="Normal"/>
    <w:uiPriority w:val="34"/>
    <w:qFormat/>
    <w:rsid w:val="009E6370"/>
    <w:pPr>
      <w:ind w:left="720"/>
      <w:contextualSpacing/>
    </w:pPr>
  </w:style>
  <w:style w:type="character" w:styleId="IntenseEmphasis">
    <w:name w:val="Intense Emphasis"/>
    <w:basedOn w:val="DefaultParagraphFont"/>
    <w:uiPriority w:val="21"/>
    <w:qFormat/>
    <w:rsid w:val="009E6370"/>
    <w:rPr>
      <w:i/>
      <w:iCs/>
      <w:color w:val="0F4761" w:themeColor="accent1" w:themeShade="BF"/>
    </w:rPr>
  </w:style>
  <w:style w:type="paragraph" w:styleId="IntenseQuote">
    <w:name w:val="Intense Quote"/>
    <w:basedOn w:val="Normal"/>
    <w:next w:val="Normal"/>
    <w:link w:val="IntenseQuoteChar"/>
    <w:uiPriority w:val="30"/>
    <w:qFormat/>
    <w:rsid w:val="009E63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370"/>
    <w:rPr>
      <w:rFonts w:eastAsiaTheme="minorEastAsia"/>
      <w:i/>
      <w:iCs/>
      <w:color w:val="0F4761" w:themeColor="accent1" w:themeShade="BF"/>
    </w:rPr>
  </w:style>
  <w:style w:type="character" w:styleId="IntenseReference">
    <w:name w:val="Intense Reference"/>
    <w:basedOn w:val="DefaultParagraphFont"/>
    <w:uiPriority w:val="32"/>
    <w:qFormat/>
    <w:rsid w:val="009E6370"/>
    <w:rPr>
      <w:b/>
      <w:bCs/>
      <w:smallCaps/>
      <w:color w:val="0F4761" w:themeColor="accent1" w:themeShade="BF"/>
      <w:spacing w:val="5"/>
    </w:rPr>
  </w:style>
  <w:style w:type="paragraph" w:styleId="Header">
    <w:name w:val="header"/>
    <w:basedOn w:val="Normal"/>
    <w:link w:val="HeaderChar"/>
    <w:uiPriority w:val="99"/>
    <w:unhideWhenUsed/>
    <w:rsid w:val="009E6370"/>
    <w:pPr>
      <w:tabs>
        <w:tab w:val="center" w:pos="4513"/>
        <w:tab w:val="right" w:pos="9026"/>
      </w:tabs>
    </w:pPr>
  </w:style>
  <w:style w:type="character" w:customStyle="1" w:styleId="HeaderChar">
    <w:name w:val="Header Char"/>
    <w:basedOn w:val="DefaultParagraphFont"/>
    <w:link w:val="Header"/>
    <w:uiPriority w:val="99"/>
    <w:rsid w:val="009E6370"/>
    <w:rPr>
      <w:rFonts w:eastAsiaTheme="minorEastAsia"/>
    </w:rPr>
  </w:style>
  <w:style w:type="paragraph" w:styleId="Footer">
    <w:name w:val="footer"/>
    <w:basedOn w:val="Normal"/>
    <w:link w:val="FooterChar"/>
    <w:uiPriority w:val="99"/>
    <w:unhideWhenUsed/>
    <w:rsid w:val="009E6370"/>
    <w:pPr>
      <w:tabs>
        <w:tab w:val="center" w:pos="4513"/>
        <w:tab w:val="right" w:pos="9026"/>
      </w:tabs>
    </w:pPr>
  </w:style>
  <w:style w:type="character" w:customStyle="1" w:styleId="FooterChar">
    <w:name w:val="Footer Char"/>
    <w:basedOn w:val="DefaultParagraphFont"/>
    <w:link w:val="Footer"/>
    <w:uiPriority w:val="99"/>
    <w:rsid w:val="009E6370"/>
    <w:rPr>
      <w:rFonts w:eastAsiaTheme="minorEastAsia"/>
    </w:rPr>
  </w:style>
  <w:style w:type="paragraph" w:styleId="NormalWeb">
    <w:name w:val="Normal (Web)"/>
    <w:basedOn w:val="Normal"/>
    <w:uiPriority w:val="99"/>
    <w:unhideWhenUsed/>
    <w:rsid w:val="00BE5604"/>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E5604"/>
    <w:rPr>
      <w:b/>
      <w:bCs/>
    </w:rPr>
  </w:style>
  <w:style w:type="character" w:customStyle="1" w:styleId="apple-converted-space">
    <w:name w:val="apple-converted-space"/>
    <w:basedOn w:val="DefaultParagraphFont"/>
    <w:rsid w:val="00BE5604"/>
  </w:style>
  <w:style w:type="character" w:styleId="Hyperlink">
    <w:name w:val="Hyperlink"/>
    <w:basedOn w:val="DefaultParagraphFont"/>
    <w:uiPriority w:val="99"/>
    <w:semiHidden/>
    <w:unhideWhenUsed/>
    <w:rsid w:val="00B92E20"/>
    <w:rPr>
      <w:color w:val="0000FF"/>
      <w:u w:val="single"/>
    </w:rPr>
  </w:style>
  <w:style w:type="character" w:styleId="Emphasis">
    <w:name w:val="Emphasis"/>
    <w:basedOn w:val="DefaultParagraphFont"/>
    <w:uiPriority w:val="20"/>
    <w:qFormat/>
    <w:rsid w:val="00E00D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fd0aa69-362e-423b-812e-1b1c1f37bf12}" enabled="0" method="" siteId="{0fd0aa69-362e-423b-812e-1b1c1f37bf12}"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1755</Words>
  <Characters>10006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NAZEEM  NAZEER | MS</dc:creator>
  <cp:keywords/>
  <dc:description/>
  <cp:lastModifiedBy>Azil Ayub (Epic)</cp:lastModifiedBy>
  <cp:revision>3</cp:revision>
  <cp:lastPrinted>2025-10-04T13:31:00Z</cp:lastPrinted>
  <dcterms:created xsi:type="dcterms:W3CDTF">2026-05-28T13:16:00Z</dcterms:created>
  <dcterms:modified xsi:type="dcterms:W3CDTF">2026-05-28T13:16:00Z</dcterms:modified>
</cp:coreProperties>
</file>